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7A25D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BocNH-PEG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-CH2CH2NH2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BOC-1-AMINO-3,6-DIOXA-8-OCTANEDIAMINE;BOC-DOOA;1-(TERT-BUTYLOXYCARBONYL-AMINO)-3,6-DIOXA-8-OCTANEAMINE;1-(T-BUTYLOXYCARBONYL-AMINO)-3,6-DIOXA-8-OCTANEAMINE;tert-butylN-[2-[2-(2-aminoethoxy)ethoxy]ethyl]carbamate;Boc-1-amino-3,6-dioxa-8-octanediamine(Boc-NH-PEG3);t-BocNH-PEG2-CH2CH2NH2;t-Boc-N-amido-PEG2-Amine98%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153086-78-3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C11H24N2O4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248.32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365.2±27.0°C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 1.046 g/mLat20°C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Refractive index: 1.4570to1.4610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Storage conditions: Under inert gas (nitrogen or argon) at 2–8°C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Transparent liquid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Acidity coefficient (pKa): 12.23 ± 0.46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Color: Colorless to pale yellow to light orange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InChIInChI=1S/C11H24N2O4/c1-11(2,3)17-10(14)13-5-7-16-9-8-15-6-4-12/h4-9,12H2,1-3H3,(H,13,14)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InChIKey:</w:t>
      </w:r>
      <w:r>
        <w:rPr>
          <w:rFonts w:hint="default" w:ascii="Times New Roman" w:hAnsi="Times New Roman" w:eastAsia="宋体" w:cs="Times New Roman"/>
          <w:sz w:val="24"/>
          <w:szCs w:val="24"/>
        </w:rPr>
        <w:t>OCUICOFGFQENAS-UHFFFAOYSA-N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SMILESC:</w:t>
      </w:r>
      <w:r>
        <w:rPr>
          <w:rFonts w:hint="default" w:ascii="Times New Roman" w:hAnsi="Times New Roman" w:eastAsia="宋体" w:cs="Times New Roman"/>
          <w:sz w:val="24"/>
          <w:szCs w:val="24"/>
        </w:rPr>
        <w:t>(OC(C)(C)C)(=O)NCCOCCOCCN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B46F9"/>
    <w:rsid w:val="184B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2025-08-28T04:29:00Z</dcterms:created>
  <dc:creator>。</dc:creator>
  <cp:lastModifiedBy>。</cp:lastModifiedBy>
  <dcterms:modified xsi:type="dcterms:W3CDTF">2025-08-28T04:29:38Z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540B6F57D97A463D8B1E8C87835913DD_11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