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94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100" w:type="dxa"/>
            <w:vMerge w:val="restart"/>
          </w:tcPr>
          <w:p>
            <w:pPr>
              <w:ind w:left="833" w:leftChars="-550" w:hanging="1988" w:hangingChars="550"/>
              <w:jc w:val="center"/>
              <w:rPr>
                <w:rFonts w:ascii="Courier New" w:hAnsi="Courier New" w:cs="Courier New"/>
                <w:sz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-664210</wp:posOffset>
                  </wp:positionV>
                  <wp:extent cx="1876425" cy="1876425"/>
                  <wp:effectExtent l="0" t="0" r="0" b="0"/>
                  <wp:wrapNone/>
                  <wp:docPr id="39" name="图片 2" descr="开创_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" descr="开创_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20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Taizhou Creating Bio-pharm Co. ,Ltd.</w:t>
            </w:r>
          </w:p>
          <w:p>
            <w:pPr>
              <w:pStyle w:val="2"/>
              <w:spacing w:line="300" w:lineRule="exact"/>
              <w:ind w:left="1798" w:leftChars="856" w:firstLine="360" w:firstLineChars="200"/>
              <w:jc w:val="both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ADD:</w:t>
            </w:r>
            <w:r>
              <w:t xml:space="preserve"> </w:t>
            </w:r>
            <w:r>
              <w:rPr>
                <w:kern w:val="2"/>
                <w:sz w:val="18"/>
                <w:szCs w:val="24"/>
              </w:rPr>
              <w:t>715 Room,Unit A.Junyue Building,Taizhou ,Zhejiang,China</w:t>
            </w:r>
          </w:p>
        </w:tc>
        <w:tc>
          <w:tcPr>
            <w:tcW w:w="1894" w:type="dxa"/>
          </w:tcPr>
          <w:p>
            <w:pPr>
              <w:pStyle w:val="7"/>
              <w:spacing w:line="240" w:lineRule="exact"/>
              <w:jc w:val="both"/>
              <w:rPr>
                <w:rFonts w:ascii="BatangChe" w:hAnsi="BatangChe"/>
                <w:b w:val="0"/>
                <w:bCs/>
                <w:sz w:val="21"/>
                <w:u w:val="wav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8100" w:type="dxa"/>
            <w:vMerge w:val="continue"/>
          </w:tcPr>
          <w:p>
            <w:pPr>
              <w:pStyle w:val="7"/>
              <w:rPr>
                <w:rFonts w:ascii="BatangChe" w:hAnsi="BatangChe"/>
                <w:sz w:val="21"/>
                <w:u w:val="wave"/>
              </w:rPr>
            </w:pPr>
          </w:p>
        </w:tc>
        <w:tc>
          <w:tcPr>
            <w:tcW w:w="1894" w:type="dxa"/>
          </w:tcPr>
          <w:p>
            <w:pPr>
              <w:pStyle w:val="7"/>
              <w:spacing w:line="240" w:lineRule="exact"/>
              <w:jc w:val="both"/>
              <w:rPr>
                <w:rFonts w:ascii="Gulim" w:hAnsi="Gulim" w:cs="Arial"/>
                <w:b w:val="0"/>
                <w:w w:val="80"/>
                <w:kern w:val="0"/>
                <w:sz w:val="15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TEL:0086-576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-88827176</w:t>
            </w:r>
          </w:p>
          <w:p>
            <w:pPr>
              <w:pStyle w:val="7"/>
              <w:spacing w:line="240" w:lineRule="exact"/>
              <w:jc w:val="both"/>
              <w:rPr>
                <w:rFonts w:ascii="Arial Narrow" w:hAnsi="Arial Narrow"/>
                <w:b w:val="0"/>
                <w:bCs/>
                <w:sz w:val="21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FAX:0086-576-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88822496</w:t>
            </w:r>
          </w:p>
        </w:tc>
      </w:tr>
    </w:tbl>
    <w:p>
      <w:pPr>
        <w:pStyle w:val="3"/>
        <w:ind w:firstLine="0" w:firstLineChars="0"/>
        <w:jc w:val="center"/>
        <w:rPr>
          <w:rFonts w:hAnsiTheme="minorEastAsia"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5905500" cy="0"/>
                <wp:effectExtent l="16510" t="20320" r="21590" b="1778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1.5pt;margin-top:6.6pt;height:0pt;width:465pt;z-index:251659264;mso-width-relative:page;mso-height-relative:page;" filled="f" stroked="t" coordsize="21600,21600" o:gfxdata="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SE4PLVAAAACAEAAA8AAAAAAAAAAQAgAAAAIgAAAGRycy9kb3du&#10;cmV2LnhtbFBLAQIUABQAAAAIAIdO4kDZmCNKyQEAAKADAAAOAAAAAAAAAAEAIAAAACQBAABkcnMv&#10;ZTJvRG9jLnhtbFBLBQYAAAAABgAGAFkBAABf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ind w:firstLine="0" w:firstLineChars="0"/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分析证明书</w:t>
      </w:r>
    </w:p>
    <w:p>
      <w:pPr>
        <w:pStyle w:val="2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CERTIFICATE OF ANALYSIS</w:t>
      </w:r>
    </w:p>
    <w:tbl>
      <w:tblPr>
        <w:tblStyle w:val="9"/>
        <w:tblW w:w="9356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 xml:space="preserve">Product name: </w:t>
            </w:r>
            <w:r>
              <w:rPr>
                <w:rFonts w:hint="eastAsia"/>
                <w:kern w:val="0"/>
                <w:sz w:val="21"/>
                <w:szCs w:val="21"/>
              </w:rPr>
              <w:t>6-bromomaphthalen-2-amine  6-溴-2-氨基萘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2" w:type="dxa"/>
            <w:vAlign w:val="center"/>
          </w:tcPr>
          <w:p>
            <w:pPr>
              <w:spacing w:line="240" w:lineRule="atLeast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Batch  no.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 w:val="21"/>
                <w:szCs w:val="21"/>
              </w:rPr>
              <w:t>批</w:t>
            </w:r>
            <w:r>
              <w:rPr>
                <w:rFonts w:hint="eastAsia" w:eastAsiaTheme="minor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Theme="minorEastAsia"/>
                <w:kern w:val="0"/>
                <w:sz w:val="21"/>
                <w:szCs w:val="21"/>
              </w:rPr>
              <w:t>号:202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30904</w:t>
            </w:r>
          </w:p>
        </w:tc>
        <w:tc>
          <w:tcPr>
            <w:tcW w:w="4394" w:type="dxa"/>
            <w:vAlign w:val="center"/>
          </w:tcPr>
          <w:p>
            <w:pPr>
              <w:spacing w:line="240" w:lineRule="atLeas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Quantity   数    量: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Theme="minorEastAsia"/>
                <w:kern w:val="0"/>
                <w:sz w:val="21"/>
                <w:szCs w:val="21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962" w:type="dxa"/>
            <w:vAlign w:val="center"/>
          </w:tcPr>
          <w:p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Manuf. date 生产日期: 202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Expiry date 有 效 期: 2024/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09</w:t>
            </w:r>
            <w:r>
              <w:rPr>
                <w:rFonts w:eastAsiaTheme="minorEastAsia"/>
                <w:kern w:val="0"/>
                <w:sz w:val="21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</w:tr>
    </w:tbl>
    <w:p>
      <w:pPr>
        <w:jc w:val="center"/>
        <w:rPr>
          <w:rFonts w:eastAsiaTheme="minorEastAsia"/>
          <w:sz w:val="13"/>
          <w:szCs w:val="13"/>
        </w:rPr>
      </w:pPr>
    </w:p>
    <w:tbl>
      <w:tblPr>
        <w:tblStyle w:val="8"/>
        <w:tblW w:w="9356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96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ANALYSIS TEST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检验项目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 xml:space="preserve"> SPECIFICATIONS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规  格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RESULT</w:t>
            </w:r>
            <w:r>
              <w:rPr>
                <w:rFonts w:hint="eastAsia" w:eastAsiaTheme="minorEastAsia"/>
                <w:bCs/>
                <w:szCs w:val="21"/>
              </w:rPr>
              <w:t>S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Description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L</w:t>
            </w:r>
            <w:r>
              <w:rPr>
                <w:rFonts w:hint="eastAsia" w:eastAsiaTheme="minorEastAsia"/>
                <w:bCs/>
                <w:szCs w:val="21"/>
              </w:rPr>
              <w:t xml:space="preserve">ight yellow powder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Conforms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identification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T</w:t>
            </w:r>
            <w:r>
              <w:rPr>
                <w:rFonts w:hint="eastAsia" w:eastAsiaTheme="minorEastAsia"/>
                <w:bCs/>
                <w:szCs w:val="21"/>
              </w:rPr>
              <w:t xml:space="preserve">he retention time of the major peak in the </w:t>
            </w:r>
            <w:r>
              <w:rPr>
                <w:rFonts w:eastAsiaTheme="minorEastAsia"/>
                <w:bCs/>
                <w:szCs w:val="21"/>
              </w:rPr>
              <w:t>chromatogram</w:t>
            </w:r>
            <w:r>
              <w:rPr>
                <w:rFonts w:hint="eastAsia" w:eastAsiaTheme="minorEastAsia"/>
                <w:bCs/>
                <w:szCs w:val="21"/>
              </w:rPr>
              <w:t xml:space="preserve"> of sample </w:t>
            </w:r>
            <w:r>
              <w:rPr>
                <w:rFonts w:eastAsiaTheme="minorEastAsia"/>
                <w:bCs/>
                <w:szCs w:val="21"/>
              </w:rPr>
              <w:t>corresponds</w:t>
            </w:r>
            <w:r>
              <w:rPr>
                <w:rFonts w:hint="eastAsia" w:eastAsiaTheme="minorEastAsia"/>
                <w:bCs/>
                <w:szCs w:val="21"/>
              </w:rPr>
              <w:t xml:space="preserve"> to that in the chromatogram of standard preparation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Conforms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P</w:t>
            </w:r>
            <w:r>
              <w:rPr>
                <w:rFonts w:hint="eastAsia" w:eastAsiaTheme="minorEastAsia"/>
                <w:bCs/>
                <w:szCs w:val="21"/>
              </w:rPr>
              <w:t xml:space="preserve">urity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NLT 98.0%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98.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bCs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W</w:t>
            </w:r>
            <w:r>
              <w:rPr>
                <w:rFonts w:hint="eastAsia" w:eastAsiaTheme="minorEastAsia"/>
                <w:bCs/>
                <w:szCs w:val="21"/>
              </w:rPr>
              <w:t>ater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NMT0.5%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0.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bCs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Loss on drying</w:t>
            </w:r>
          </w:p>
          <w:p>
            <w:pPr>
              <w:jc w:val="center"/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 xml:space="preserve">             </w:t>
            </w:r>
            <w:r>
              <w:rPr>
                <w:rFonts w:eastAsiaTheme="minorEastAsia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</w:rPr>
              <w:t>NMT0.3%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0.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44</w:t>
            </w:r>
            <w:r>
              <w:rPr>
                <w:rFonts w:eastAsiaTheme="minorEastAsia"/>
                <w:bCs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R</w:t>
            </w:r>
            <w:r>
              <w:rPr>
                <w:rFonts w:hint="eastAsia" w:eastAsiaTheme="minorEastAsia"/>
                <w:bCs/>
                <w:szCs w:val="21"/>
              </w:rPr>
              <w:t xml:space="preserve">esidue on lgnition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NMT2.0%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Cs/>
                <w:szCs w:val="21"/>
              </w:rPr>
            </w:pPr>
            <w:bookmarkStart w:id="0" w:name="_GoBack"/>
            <w:r>
              <w:rPr>
                <w:rFonts w:hint="eastAsia" w:eastAsiaTheme="minorEastAsia"/>
                <w:bCs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132715</wp:posOffset>
                  </wp:positionV>
                  <wp:extent cx="1428750" cy="1533525"/>
                  <wp:effectExtent l="19050" t="0" r="0" b="0"/>
                  <wp:wrapNone/>
                  <wp:docPr id="45" name="图片 3" descr="1666316987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3" descr="16663169879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eastAsiaTheme="minorEastAsia"/>
                <w:bCs/>
                <w:szCs w:val="21"/>
              </w:rPr>
              <w:t>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9356" w:type="dxa"/>
            <w:gridSpan w:val="3"/>
          </w:tcPr>
          <w:p>
            <w:pPr>
              <w:ind w:left="1890" w:hanging="1890" w:hangingChars="900"/>
              <w:rPr>
                <w:szCs w:val="21"/>
              </w:rPr>
            </w:pPr>
            <w:r>
              <w:rPr>
                <w:szCs w:val="21"/>
              </w:rPr>
              <w:t xml:space="preserve">CONCLUSION: THE PRODUCT CONFORMS TO </w:t>
            </w:r>
            <w:r>
              <w:rPr>
                <w:rFonts w:hint="eastAsia"/>
                <w:szCs w:val="21"/>
              </w:rPr>
              <w:t>THE ABOVE SPECIFICATION</w:t>
            </w:r>
          </w:p>
          <w:p>
            <w:pPr>
              <w:rPr>
                <w:szCs w:val="21"/>
              </w:rPr>
            </w:pPr>
          </w:p>
        </w:tc>
      </w:tr>
    </w:tbl>
    <w:p>
      <w:pPr>
        <w:ind w:firstLine="630" w:firstLineChars="300"/>
        <w:rPr>
          <w:rFonts w:eastAsiaTheme="minorEastAsia"/>
          <w:szCs w:val="21"/>
        </w:rPr>
      </w:pPr>
    </w:p>
    <w:p>
      <w:pPr>
        <w:ind w:firstLine="630" w:firstLineChars="3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复核人Checker:                                     化验人Analyst:</w:t>
      </w:r>
    </w:p>
    <w:p>
      <w:pPr>
        <w:pStyle w:val="3"/>
        <w:ind w:firstLine="0" w:firstLineChars="0"/>
        <w:jc w:val="center"/>
      </w:pPr>
    </w:p>
    <w:sectPr>
      <w:pgSz w:w="11906" w:h="16838"/>
      <w:pgMar w:top="851" w:right="1230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iMTFkNzk1NzZiYjQxNDM5NjExMjQ4MzEzOTNlNjcifQ=="/>
  </w:docVars>
  <w:rsids>
    <w:rsidRoot w:val="00AF4BDA"/>
    <w:rsid w:val="00025EFF"/>
    <w:rsid w:val="00026E1D"/>
    <w:rsid w:val="00255C6D"/>
    <w:rsid w:val="003238B8"/>
    <w:rsid w:val="003C05F8"/>
    <w:rsid w:val="00533B88"/>
    <w:rsid w:val="005D1077"/>
    <w:rsid w:val="00682AA1"/>
    <w:rsid w:val="006B5FCD"/>
    <w:rsid w:val="006D0A1B"/>
    <w:rsid w:val="00776FE2"/>
    <w:rsid w:val="00882037"/>
    <w:rsid w:val="008C0BB7"/>
    <w:rsid w:val="008E2622"/>
    <w:rsid w:val="00982F07"/>
    <w:rsid w:val="00990924"/>
    <w:rsid w:val="00AA54DF"/>
    <w:rsid w:val="00AF4BDA"/>
    <w:rsid w:val="00BC1196"/>
    <w:rsid w:val="00BD4A6C"/>
    <w:rsid w:val="00C401BF"/>
    <w:rsid w:val="00C5165A"/>
    <w:rsid w:val="00C73C0A"/>
    <w:rsid w:val="00C740F8"/>
    <w:rsid w:val="00CA137D"/>
    <w:rsid w:val="00DB49B8"/>
    <w:rsid w:val="00E92D1D"/>
    <w:rsid w:val="00EC2CB5"/>
    <w:rsid w:val="00F97866"/>
    <w:rsid w:val="00FA3749"/>
    <w:rsid w:val="00FB39DB"/>
    <w:rsid w:val="64B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11"/>
    <w:qFormat/>
    <w:uiPriority w:val="0"/>
    <w:pPr>
      <w:keepNext/>
      <w:widowControl/>
      <w:jc w:val="center"/>
      <w:outlineLvl w:val="2"/>
    </w:pPr>
    <w:rPr>
      <w:kern w:val="0"/>
      <w:sz w:val="2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0"/>
    <w:pPr>
      <w:ind w:firstLine="420" w:firstLineChars="200"/>
    </w:pPr>
  </w:style>
  <w:style w:type="paragraph" w:styleId="4">
    <w:name w:val="Balloon Text"/>
    <w:basedOn w:val="1"/>
    <w:link w:val="16"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link w:val="12"/>
    <w:qFormat/>
    <w:uiPriority w:val="0"/>
    <w:pPr>
      <w:jc w:val="center"/>
    </w:pPr>
    <w:rPr>
      <w:b/>
      <w:sz w:val="32"/>
      <w:szCs w:val="20"/>
    </w:rPr>
  </w:style>
  <w:style w:type="table" w:styleId="9">
    <w:name w:val="Table Grid"/>
    <w:basedOn w:val="8"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字符"/>
    <w:basedOn w:val="10"/>
    <w:link w:val="2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2">
    <w:name w:val="标题 字符"/>
    <w:basedOn w:val="10"/>
    <w:link w:val="7"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3">
    <w:name w:val="zw3"/>
    <w:basedOn w:val="1"/>
    <w:uiPriority w:val="0"/>
    <w:pPr>
      <w:spacing w:line="420" w:lineRule="exact"/>
      <w:ind w:left="100" w:leftChars="100"/>
      <w:jc w:val="left"/>
    </w:pPr>
    <w:rPr>
      <w:b/>
      <w:i/>
      <w:sz w:val="24"/>
      <w:szCs w:val="21"/>
    </w:rPr>
  </w:style>
  <w:style w:type="character" w:customStyle="1" w:styleId="14">
    <w:name w:val="页眉 字符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741</Characters>
  <Lines>6</Lines>
  <Paragraphs>1</Paragraphs>
  <TotalTime>4</TotalTime>
  <ScaleCrop>false</ScaleCrop>
  <LinksUpToDate>false</LinksUpToDate>
  <CharactersWithSpaces>870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2023-01-31T04:40:00Z</dcterms:created>
  <dc:creator>Administrator</dc:creator>
  <cp:lastModifiedBy>WPS_1656300425</cp:lastModifiedBy>
  <cp:lastPrinted>2016-01-20T02:18:00Z</cp:lastPrinted>
  <dcterms:modified xsi:type="dcterms:W3CDTF">2023-10-12T02:30:51Z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D4B46C0A3746468E9D1DB0C3365E430E_12</vt:lpwstr>
  </property>
</Properties>
</file>